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D1" w:rsidRDefault="00604AD1"/>
    <w:p w:rsidR="00046A47" w:rsidRDefault="00046A47">
      <w:pPr>
        <w:pStyle w:val="1"/>
        <w:snapToGrid w:val="0"/>
        <w:rPr>
          <w:rFonts w:ascii="宋体" w:eastAsia="宋体" w:hAnsi="宋体" w:cs="宋体" w:hint="eastAsia"/>
          <w:color w:val="auto"/>
        </w:rPr>
      </w:pPr>
      <w:bookmarkStart w:id="0" w:name="_Toc495317669"/>
      <w:r>
        <w:rPr>
          <w:rFonts w:ascii="宋体" w:eastAsia="宋体" w:hAnsi="宋体" w:cs="宋体" w:hint="eastAsia"/>
          <w:color w:val="auto"/>
        </w:rPr>
        <w:t>杭州市肿瘤医院</w:t>
      </w:r>
    </w:p>
    <w:p w:rsidR="00604AD1" w:rsidRDefault="00046A47" w:rsidP="00046A47">
      <w:pPr>
        <w:pStyle w:val="1"/>
        <w:snapToGrid w:val="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2024年度</w:t>
      </w:r>
      <w:r w:rsidR="00406CFA">
        <w:rPr>
          <w:rFonts w:ascii="宋体" w:eastAsia="宋体" w:hAnsi="宋体" w:cs="宋体" w:hint="eastAsia"/>
          <w:color w:val="auto"/>
        </w:rPr>
        <w:t>主服务器</w:t>
      </w:r>
      <w:r w:rsidR="008604B3">
        <w:rPr>
          <w:rFonts w:ascii="宋体" w:eastAsia="宋体" w:hAnsi="宋体" w:cs="宋体" w:hint="eastAsia"/>
          <w:color w:val="auto"/>
        </w:rPr>
        <w:t>维保</w:t>
      </w:r>
      <w:bookmarkEnd w:id="0"/>
      <w:r>
        <w:rPr>
          <w:rFonts w:ascii="宋体" w:eastAsia="宋体" w:hAnsi="宋体" w:cs="宋体" w:hint="eastAsia"/>
          <w:color w:val="auto"/>
        </w:rPr>
        <w:t>项目</w:t>
      </w:r>
      <w:r w:rsidR="00406CFA">
        <w:rPr>
          <w:rFonts w:ascii="宋体" w:eastAsia="宋体" w:hAnsi="宋体" w:cs="宋体" w:hint="eastAsia"/>
          <w:color w:val="auto"/>
        </w:rPr>
        <w:t>询价参数</w:t>
      </w:r>
    </w:p>
    <w:p w:rsidR="00604AD1" w:rsidRDefault="00604AD1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</w:p>
    <w:p w:rsidR="00604AD1" w:rsidRDefault="008604B3">
      <w:pPr>
        <w:widowControl/>
        <w:snapToGrid w:val="0"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（一）项目概述</w:t>
      </w:r>
    </w:p>
    <w:p w:rsidR="00604AD1" w:rsidRDefault="008604B3">
      <w:pPr>
        <w:widowControl/>
        <w:snapToGrid w:val="0"/>
        <w:spacing w:line="360" w:lineRule="auto"/>
        <w:jc w:val="left"/>
      </w:pPr>
      <w:r>
        <w:rPr>
          <w:rFonts w:ascii="宋体" w:hAnsi="宋体" w:cs="宋体" w:hint="eastAsia"/>
          <w:kern w:val="0"/>
          <w:szCs w:val="21"/>
        </w:rPr>
        <w:t>本次维保内容为杭州市肿瘤医院已过保修期的数据库一体机、数据库备份一体机，虚拟化平台及服务器、存储等相关软硬件维保服务。维保服务包括设备维护（设备清单详见本章维保服务清单）、故障处理、维修及所有硬件设备的配件或整机更换，软件升级、功能补丁、故障处理、日常巡检、健康分析等现场服务，服务周期为合同签订日期生效起一年。</w:t>
      </w:r>
    </w:p>
    <w:p w:rsidR="00604AD1" w:rsidRDefault="008604B3">
      <w:pPr>
        <w:pStyle w:val="Default"/>
        <w:spacing w:line="360" w:lineRule="auto"/>
        <w:rPr>
          <w:rFonts w:ascii="宋体" w:eastAsia="宋体" w:hAnsi="宋体" w:cs="宋体"/>
          <w:b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color w:val="auto"/>
          <w:sz w:val="21"/>
          <w:szCs w:val="21"/>
        </w:rPr>
        <w:t>（二）本次维保服务清单：</w:t>
      </w:r>
    </w:p>
    <w:tbl>
      <w:tblPr>
        <w:tblW w:w="837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4"/>
        <w:gridCol w:w="4819"/>
        <w:gridCol w:w="1171"/>
      </w:tblGrid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产品采购时间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2013年10月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DELL 刀箱1000E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</w:tcPr>
          <w:p w:rsidR="00604AD1" w:rsidRDefault="008604B3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2013年10月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M620刀片服务器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5台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</w:tcPr>
          <w:p w:rsidR="00604AD1" w:rsidRDefault="008604B3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2013年10月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博科光交M5424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2013年10月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联想RD330服务器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2013年10月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联想EMC VNX5100存储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2014年12月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DELL R920服务器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2014年12月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DELL R720服务器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6台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2015年11月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DELL M630 刀片服务器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5台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2014年12月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沃趣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QData</w:t>
            </w: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2014年12月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沃趣Q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Monitor 云监控平台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604AD1">
        <w:trPr>
          <w:trHeight w:val="454"/>
        </w:trPr>
        <w:tc>
          <w:tcPr>
            <w:tcW w:w="2384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2015年11月</w:t>
            </w:r>
          </w:p>
        </w:tc>
        <w:tc>
          <w:tcPr>
            <w:tcW w:w="4819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沃趣Qbackup备份软件</w:t>
            </w:r>
          </w:p>
        </w:tc>
        <w:tc>
          <w:tcPr>
            <w:tcW w:w="1171" w:type="dxa"/>
            <w:noWrap/>
            <w:vAlign w:val="center"/>
          </w:tcPr>
          <w:p w:rsidR="00604AD1" w:rsidRDefault="008604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</w:tbl>
    <w:p w:rsidR="00604AD1" w:rsidRDefault="00604AD1">
      <w:pPr>
        <w:pStyle w:val="Default"/>
        <w:spacing w:line="360" w:lineRule="auto"/>
        <w:rPr>
          <w:rFonts w:ascii="宋体" w:eastAsia="宋体" w:hAnsi="宋体" w:cs="宋体"/>
          <w:b/>
          <w:color w:val="auto"/>
          <w:kern w:val="2"/>
          <w:sz w:val="21"/>
          <w:szCs w:val="21"/>
        </w:rPr>
      </w:pPr>
    </w:p>
    <w:p w:rsidR="00604AD1" w:rsidRDefault="008604B3">
      <w:pPr>
        <w:pStyle w:val="Default"/>
        <w:spacing w:line="360" w:lineRule="auto"/>
        <w:rPr>
          <w:rFonts w:ascii="宋体" w:eastAsia="宋体" w:hAnsi="宋体" w:cs="宋体"/>
          <w:b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b/>
          <w:color w:val="auto"/>
          <w:kern w:val="2"/>
          <w:sz w:val="21"/>
          <w:szCs w:val="21"/>
        </w:rPr>
        <w:t>（三）技术服务要求</w:t>
      </w:r>
    </w:p>
    <w:p w:rsidR="00604AD1" w:rsidRDefault="008604B3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1、软件服务要求：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7229"/>
      </w:tblGrid>
      <w:tr w:rsidR="00604AD1">
        <w:trPr>
          <w:trHeight w:val="454"/>
        </w:trPr>
        <w:tc>
          <w:tcPr>
            <w:tcW w:w="1293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指标项</w:t>
            </w: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技术指标要求</w:t>
            </w:r>
          </w:p>
        </w:tc>
      </w:tr>
      <w:tr w:rsidR="00604AD1">
        <w:trPr>
          <w:trHeight w:val="454"/>
        </w:trPr>
        <w:tc>
          <w:tcPr>
            <w:tcW w:w="1293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服务范围要求</w:t>
            </w: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为招标方提供数据库一体机软件与数据库备份软件一年7*24小时设备维保服务（所有配置以医院现有设备为准），提供软件功能的缺陷补丁升级服务，提供一体机软件功能补丁包。</w:t>
            </w:r>
          </w:p>
        </w:tc>
      </w:tr>
      <w:tr w:rsidR="00604AD1">
        <w:trPr>
          <w:trHeight w:val="454"/>
        </w:trPr>
        <w:tc>
          <w:tcPr>
            <w:tcW w:w="1293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本地化服务</w:t>
            </w: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为保证服务的时效性以及服务响应速度，原厂商在杭州市内设立维保服务机构（提供证明材料）。</w:t>
            </w:r>
          </w:p>
        </w:tc>
      </w:tr>
      <w:tr w:rsidR="00604AD1">
        <w:trPr>
          <w:trHeight w:val="454"/>
        </w:trPr>
        <w:tc>
          <w:tcPr>
            <w:tcW w:w="1293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人员要求</w:t>
            </w: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投标方能提供本地技术支持，提供不少于3人的本地化服务团队，同时原厂商提供不少于5人的本地化项目服务团队，投标方服务工程师需具备ITSS售后服务工程师资质，原厂商项目工作组成员应至少包含2名ORACLE OCM、2名OCP工程师，以及1名具有Oracle ACE资质的服务专家，提供项目组成员资质证明。</w:t>
            </w:r>
          </w:p>
        </w:tc>
      </w:tr>
      <w:tr w:rsidR="00604AD1">
        <w:trPr>
          <w:trHeight w:val="454"/>
        </w:trPr>
        <w:tc>
          <w:tcPr>
            <w:tcW w:w="1293" w:type="dxa"/>
            <w:vMerge w:val="restart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服务内容</w:t>
            </w: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为招标方提供7*24小时服务电话支持，设备使用过程中如遇到问题，投标方应在接到电话故障报告后30分钟内做出实质性响应，确保原厂工程师在1小时内到达故障现场，对故障件免费提供技术支持，并负责故障件更换、维护和故障恢复工作。在规定时间（24小时内）解决设备故障，规定时间内故障不能解决而影响设备正常使用时，投标方负责提供相当性能的备机，保障系统正常运行。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根据用户要求或系统需要，提供设备系统软件和微码升级，投标方负责免费提供原厂认证工程师现场升级服务。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用户在服务期内为设备添购或更换任何配件时，投标方应安排原厂认证工程师进行安装实施。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对于影响一体机稳定性、可靠性的补丁提供上门安装服务；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对于影响数据安全的补丁包提供2小时响应、紧急救援服务；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原厂商负责数据库一体机及备份一体机的所有软件系统维保服务，提供原厂技术支持及技术上门服务，包括专业的售后服务专线支持（400/800电话）等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kern w:val="2"/>
                <w:sz w:val="21"/>
                <w:szCs w:val="21"/>
              </w:rPr>
              <w:t>原厂1年现场巡检服务，服务包括如下内容:</w:t>
            </w:r>
            <w:r>
              <w:rPr>
                <w:rFonts w:ascii="宋体" w:eastAsia="宋体" w:hAnsi="宋体" w:cs="宋体" w:hint="eastAsia"/>
                <w:bCs/>
                <w:color w:val="auto"/>
                <w:kern w:val="2"/>
                <w:sz w:val="21"/>
                <w:szCs w:val="21"/>
              </w:rPr>
              <w:br/>
              <w:t>巡检频率：1年4次，现场巡检</w:t>
            </w:r>
            <w:r>
              <w:rPr>
                <w:rFonts w:ascii="宋体" w:eastAsia="宋体" w:hAnsi="宋体" w:cs="宋体" w:hint="eastAsia"/>
                <w:bCs/>
                <w:color w:val="auto"/>
                <w:kern w:val="2"/>
                <w:sz w:val="21"/>
                <w:szCs w:val="21"/>
              </w:rPr>
              <w:br/>
              <w:t>巡检内容包括：QData平台主机，网络，存储，IO链路,OS配置和健康状况；QData平台数据库基本配置、SqlNet概况，性能、备份策略评估，RAC／ASM集群等健康状况检查</w:t>
            </w:r>
            <w:r>
              <w:rPr>
                <w:rFonts w:ascii="宋体" w:eastAsia="宋体" w:hAnsi="宋体" w:cs="宋体" w:hint="eastAsia"/>
                <w:bCs/>
                <w:color w:val="auto"/>
                <w:kern w:val="2"/>
                <w:sz w:val="21"/>
                <w:szCs w:val="21"/>
              </w:rPr>
              <w:br/>
              <w:t>巡检输出物：巡检完毕出具巡检报告，并提供相关优化、改进技术建议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提供自动巡检工具，支持在线完成一键巡检任务，根据客户需求自定义巡检内容及范围。</w:t>
            </w:r>
          </w:p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支持远程在线巡检，远程巡检时对当前数据库一体机性能无影响。</w:t>
            </w:r>
          </w:p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支持在线预览巡检报告，支持巡检报告在线下载。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法定节假日、重大活动期间提供技术支持保障；用户重大业务上线、业务变更、配置变更、在线迁移等，提供现场保障。</w:t>
            </w:r>
          </w:p>
        </w:tc>
      </w:tr>
      <w:tr w:rsidR="00604AD1">
        <w:trPr>
          <w:trHeight w:val="454"/>
        </w:trPr>
        <w:tc>
          <w:tcPr>
            <w:tcW w:w="1293" w:type="dxa"/>
            <w:vMerge/>
            <w:noWrap/>
            <w:vAlign w:val="center"/>
          </w:tcPr>
          <w:p w:rsidR="00604AD1" w:rsidRDefault="00604AD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数据库一体机软件补丁升级，包括PSU，大版本补丁升级与评估；</w:t>
            </w:r>
          </w:p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对影响数据库一体机稳定性、可靠性的补丁提供原厂工程师上门安装服务；</w:t>
            </w:r>
          </w:p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对影响数据安全的补丁包提供2小时响应、紧急救援服务。</w:t>
            </w:r>
          </w:p>
        </w:tc>
      </w:tr>
      <w:tr w:rsidR="00604AD1">
        <w:trPr>
          <w:trHeight w:val="454"/>
        </w:trPr>
        <w:tc>
          <w:tcPr>
            <w:tcW w:w="1293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维保时间</w:t>
            </w:r>
          </w:p>
        </w:tc>
        <w:tc>
          <w:tcPr>
            <w:tcW w:w="7229" w:type="dxa"/>
            <w:noWrap/>
            <w:vAlign w:val="center"/>
          </w:tcPr>
          <w:p w:rsidR="00604AD1" w:rsidRDefault="008604B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提供一年7*24小时故障处理服务，包括现场，400电话，邮件，QQ等多种支持方式。</w:t>
            </w:r>
          </w:p>
        </w:tc>
      </w:tr>
    </w:tbl>
    <w:p w:rsidR="00604AD1" w:rsidRDefault="00604AD1">
      <w:pPr>
        <w:spacing w:line="360" w:lineRule="auto"/>
        <w:rPr>
          <w:rFonts w:ascii="宋体" w:hAnsi="宋体" w:cs="宋体"/>
          <w:szCs w:val="21"/>
        </w:rPr>
      </w:pPr>
    </w:p>
    <w:p w:rsidR="00604AD1" w:rsidRDefault="008604B3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2、硬件服务要求：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（1）机房服务器、存储等设备日常维护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主要维护服务工作：硬件故障诊断、维修更换、升级、杀毒、补丁、数据恢复等服务，如系统硬件存在故障需要更换时，维保清单中所列的设备则根据用户需求提供配件更换或整机更换。软件故障的诊断及恢复，按照用户要求安装操作系统及应用软件，解决用户使用过程中遇到的疑难问题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1.设备搬迁调整及布局优化服务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中标方应无条件响应采购人需求，根据需求对采购人指定的设备（包括但不限于附表中设备）进行搬迁、调整以及优化；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1）各类服务器、存储设备等的搬迁调整及布局优化；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2）根据采购人需求，对采购人在运维期间新购置的各类软硬件设备提供免费安装服务；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3）机房内其它设备的迁移及线路整理。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2.弱电线路整理维护及更换服务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为了保障各个系统的运行稳定，需要对采购人指定位置的现有各类弱电线路（与附件所列设备相关的）做定期的梳理和调整，如有发现不符合规范的线路需进行整理，对于存在隐患的线路则进行更换。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3.系统健康性检查服务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对于采购人机房内的各类设备（包括但不限于附件中设备），每月提供1次全面健康检查，包括检查系统的运行状态，预防性维护工作，病毒查杀、安装补丁、并对系统状况、巡检中发现的问题及时处理，巡检后在1周内提交巡检报告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4.设备的建档服务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根据维护需要对采购人所有设备建档，包括设备名称、IP地址、操作系统、序列号、购置</w:t>
      </w:r>
      <w:r>
        <w:rPr>
          <w:rFonts w:hAnsi="宋体" w:cs="宋体" w:hint="eastAsia"/>
          <w:szCs w:val="21"/>
        </w:rPr>
        <w:lastRenderedPageBreak/>
        <w:t>日期、物理拓扑、网络拓朴等。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5.设备环境维护服务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对采购人各类设备运行环境进行预防性检查维护。</w:t>
      </w:r>
    </w:p>
    <w:p w:rsidR="00604AD1" w:rsidRDefault="008604B3">
      <w:pPr>
        <w:pStyle w:val="a3"/>
        <w:snapToGrid w:val="0"/>
        <w:spacing w:line="360" w:lineRule="auto"/>
        <w:outlineLvl w:val="2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（2）应急响应服务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当采购人设备（限于附件中设备）发生各种突发重大故障时，需派遣技术团队在半小时内到达现场进行维修，设备故障无法6小时内排除的，应提供备机应急。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重大活动或重大事项需技术保障时，中标人承诺将根据采购人需求派遣技术人员，到采购人处进行技术支持和运维服务。</w:t>
      </w:r>
    </w:p>
    <w:p w:rsidR="00604AD1" w:rsidRDefault="008604B3">
      <w:pPr>
        <w:pStyle w:val="a3"/>
        <w:snapToGrid w:val="0"/>
        <w:spacing w:line="360" w:lineRule="auto"/>
        <w:outlineLvl w:val="2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（3）服务要求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1、电话响应时间不超过10分钟。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2、应急服务必须在半小时内到达现场。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3、提供7×24小时电话咨询与支持。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4、现场技术人员接受采购人的管理，服从采购人的工作安排。</w:t>
      </w:r>
    </w:p>
    <w:p w:rsidR="00604AD1" w:rsidRDefault="008604B3">
      <w:pPr>
        <w:pStyle w:val="a3"/>
        <w:snapToGrid w:val="0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5、如因中标人原因，导致采购人系统停机事故，采购人有权拒绝支付维护费；情况严重的，可立即中止维护协议。</w:t>
      </w:r>
    </w:p>
    <w:p w:rsidR="00604AD1" w:rsidRDefault="008604B3">
      <w:pPr>
        <w:spacing w:line="360" w:lineRule="auto"/>
        <w:rPr>
          <w:rFonts w:ascii="宋体" w:hAnsi="宋体" w:cs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kern w:val="0"/>
          <w:szCs w:val="21"/>
        </w:rPr>
        <w:t>（四）商务要求</w:t>
      </w:r>
    </w:p>
    <w:p w:rsidR="00604AD1" w:rsidRDefault="008604B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1、付款方式：</w:t>
      </w:r>
    </w:p>
    <w:p w:rsidR="00604AD1" w:rsidRDefault="008604B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第一次付款：合同签订生效后，自收到乙方发票10个工作日，甲方向乙方支付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0%合同款</w:t>
      </w:r>
    </w:p>
    <w:p w:rsidR="00604AD1" w:rsidRDefault="008604B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第二次付款：服务期满后，自收到乙方发票10个工作日，甲方向乙方支付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0%合同款</w:t>
      </w:r>
    </w:p>
    <w:p w:rsidR="00604AD1" w:rsidRDefault="008604B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2、报价</w:t>
      </w:r>
    </w:p>
    <w:p w:rsidR="00604AD1" w:rsidRDefault="008604B3">
      <w:pPr>
        <w:spacing w:line="360" w:lineRule="auto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szCs w:val="21"/>
        </w:rPr>
        <w:t>投标总价应包括本项目整个服务期所需的一切人工、材料费、工具、设备、保险、交通、利润、验收、税金（包含须由供应商承担的各种税费）、其它需供应商承担的费用及潜在可能涉及的一切费用。供应商应认真计算可能发生的各相关费用并计入投标报价内，在项目实施过程中不得藉此要求增加任何费用。</w:t>
      </w:r>
    </w:p>
    <w:p w:rsidR="00604AD1" w:rsidRDefault="00604AD1" w:rsidP="00406CFA">
      <w:pPr>
        <w:pStyle w:val="1"/>
        <w:jc w:val="both"/>
        <w:rPr>
          <w:rStyle w:val="fontstyle01"/>
          <w:rFonts w:cs="宋体" w:hint="default"/>
          <w:color w:val="auto"/>
          <w:sz w:val="21"/>
          <w:szCs w:val="21"/>
        </w:rPr>
      </w:pPr>
    </w:p>
    <w:p w:rsidR="00604AD1" w:rsidRDefault="00604AD1"/>
    <w:sectPr w:rsidR="00604AD1" w:rsidSect="0060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5D3" w:rsidRDefault="005155D3" w:rsidP="00406CFA">
      <w:r>
        <w:separator/>
      </w:r>
    </w:p>
  </w:endnote>
  <w:endnote w:type="continuationSeparator" w:id="1">
    <w:p w:rsidR="005155D3" w:rsidRDefault="005155D3" w:rsidP="0040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..璂..">
    <w:altName w:val="汉仪书宋二KW"/>
    <w:charset w:val="00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5D3" w:rsidRDefault="005155D3" w:rsidP="00406CFA">
      <w:r>
        <w:separator/>
      </w:r>
    </w:p>
  </w:footnote>
  <w:footnote w:type="continuationSeparator" w:id="1">
    <w:p w:rsidR="005155D3" w:rsidRDefault="005155D3" w:rsidP="00406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752F5"/>
    <w:rsid w:val="00D8262C"/>
    <w:rsid w:val="7FF752F5"/>
    <w:rsid w:val="B97FD757"/>
    <w:rsid w:val="DFD30701"/>
    <w:rsid w:val="FE9F6450"/>
    <w:rsid w:val="FEBB5372"/>
    <w:rsid w:val="FFD74CFE"/>
    <w:rsid w:val="00046A47"/>
    <w:rsid w:val="00406CFA"/>
    <w:rsid w:val="005155D3"/>
    <w:rsid w:val="00604AD1"/>
    <w:rsid w:val="008604B3"/>
    <w:rsid w:val="1EFE6F8F"/>
    <w:rsid w:val="3BDBD9A6"/>
    <w:rsid w:val="4EFE945F"/>
    <w:rsid w:val="6BA61D9C"/>
    <w:rsid w:val="6FFBF484"/>
    <w:rsid w:val="757FFA4D"/>
    <w:rsid w:val="7EFEB615"/>
    <w:rsid w:val="7FD7F19C"/>
    <w:rsid w:val="7FF7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Body Text Indent 3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604A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04AD1"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paragraph" w:styleId="2">
    <w:name w:val="heading 2"/>
    <w:basedOn w:val="a"/>
    <w:next w:val="a"/>
    <w:qFormat/>
    <w:rsid w:val="00604AD1"/>
    <w:pPr>
      <w:keepNext/>
      <w:keepLines/>
      <w:snapToGrid w:val="0"/>
      <w:spacing w:line="30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"/>
    <w:next w:val="a"/>
    <w:uiPriority w:val="9"/>
    <w:qFormat/>
    <w:rsid w:val="00604AD1"/>
    <w:pPr>
      <w:widowControl/>
      <w:autoSpaceDE w:val="0"/>
      <w:autoSpaceDN w:val="0"/>
      <w:snapToGrid w:val="0"/>
      <w:spacing w:line="300" w:lineRule="auto"/>
      <w:ind w:firstLineChars="200" w:firstLine="200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04AD1"/>
    <w:pPr>
      <w:widowControl w:val="0"/>
      <w:autoSpaceDE w:val="0"/>
      <w:autoSpaceDN w:val="0"/>
      <w:adjustRightInd w:val="0"/>
    </w:pPr>
    <w:rPr>
      <w:rFonts w:ascii="宋体..璂.." w:eastAsia="宋体..璂.." w:hAnsi="Times New Roman" w:cs="宋体..璂.."/>
      <w:color w:val="000000"/>
      <w:sz w:val="24"/>
      <w:szCs w:val="24"/>
    </w:rPr>
  </w:style>
  <w:style w:type="paragraph" w:styleId="a3">
    <w:name w:val="Plain Text"/>
    <w:basedOn w:val="a"/>
    <w:qFormat/>
    <w:rsid w:val="00604AD1"/>
    <w:rPr>
      <w:rFonts w:ascii="宋体" w:hAnsi="Courier New"/>
      <w:szCs w:val="20"/>
    </w:rPr>
  </w:style>
  <w:style w:type="paragraph" w:styleId="20">
    <w:name w:val="Body Text Indent 2"/>
    <w:basedOn w:val="a"/>
    <w:uiPriority w:val="99"/>
    <w:qFormat/>
    <w:rsid w:val="00604AD1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30">
    <w:name w:val="Body Text Indent 3"/>
    <w:basedOn w:val="a"/>
    <w:uiPriority w:val="99"/>
    <w:qFormat/>
    <w:rsid w:val="00604AD1"/>
    <w:pPr>
      <w:autoSpaceDE w:val="0"/>
      <w:autoSpaceDN w:val="0"/>
      <w:spacing w:line="400" w:lineRule="atLeast"/>
      <w:ind w:firstLineChars="200" w:firstLine="443"/>
      <w:textAlignment w:val="bottom"/>
    </w:pPr>
    <w:rPr>
      <w:rFonts w:eastAsia="黑体"/>
      <w:color w:val="000000"/>
      <w:sz w:val="24"/>
    </w:rPr>
  </w:style>
  <w:style w:type="paragraph" w:customStyle="1" w:styleId="10">
    <w:name w:val="样式1"/>
    <w:basedOn w:val="a"/>
    <w:qFormat/>
    <w:rsid w:val="00604AD1"/>
    <w:pPr>
      <w:spacing w:line="360" w:lineRule="exact"/>
      <w:ind w:firstLineChars="200" w:firstLine="200"/>
    </w:pPr>
    <w:rPr>
      <w:rFonts w:ascii="Arial" w:hAnsi="Arial"/>
    </w:rPr>
  </w:style>
  <w:style w:type="character" w:customStyle="1" w:styleId="fontstyle01">
    <w:name w:val="fontstyle01"/>
    <w:qFormat/>
    <w:rsid w:val="00604AD1"/>
    <w:rPr>
      <w:rFonts w:ascii="宋体" w:eastAsia="宋体" w:hAnsi="宋体" w:hint="eastAsia"/>
      <w:color w:val="000000"/>
      <w:sz w:val="22"/>
      <w:szCs w:val="22"/>
    </w:rPr>
  </w:style>
  <w:style w:type="paragraph" w:styleId="a4">
    <w:name w:val="header"/>
    <w:basedOn w:val="a"/>
    <w:link w:val="Char"/>
    <w:rsid w:val="00406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6CF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06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6C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426</Words>
  <Characters>2431</Characters>
  <Application>Microsoft Office Word</Application>
  <DocSecurity>0</DocSecurity>
  <Lines>20</Lines>
  <Paragraphs>5</Paragraphs>
  <ScaleCrop>false</ScaleCrop>
  <Company>Micorosoft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Micorosoft</cp:lastModifiedBy>
  <cp:revision>3</cp:revision>
  <dcterms:created xsi:type="dcterms:W3CDTF">2024-06-05T07:03:00Z</dcterms:created>
  <dcterms:modified xsi:type="dcterms:W3CDTF">2024-07-30T06:18:00Z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9F3FF0582BE0297CB02C5F66B954CD94_41</vt:lpwstr>
  </property>
</Properties>
</file>