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0" w:firstLineChars="200"/>
        <w:jc w:val="center"/>
        <w:rPr>
          <w:rFonts w:hint="eastAsia" w:hAnsi="黑体" w:eastAsia="黑体"/>
          <w:color w:val="000000"/>
          <w:sz w:val="28"/>
          <w:szCs w:val="28"/>
          <w:lang w:val="zh-TW"/>
        </w:rPr>
      </w:pPr>
      <w:r>
        <w:rPr>
          <w:rFonts w:hint="eastAsia" w:hAnsi="黑体" w:eastAsia="黑体"/>
          <w:color w:val="000000"/>
          <w:sz w:val="28"/>
          <w:szCs w:val="28"/>
          <w:lang w:val="zh-TW" w:eastAsia="zh-TW"/>
        </w:rPr>
        <w:t>伦理审查申请须知</w:t>
      </w:r>
    </w:p>
    <w:p>
      <w:pPr>
        <w:spacing w:after="0" w:line="360" w:lineRule="exact"/>
        <w:ind w:firstLine="420" w:firstLineChars="200"/>
        <w:rPr>
          <w:rFonts w:hint="eastAsia"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一、提交伦理审查的研究项目范围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根据国家药品监督管理局</w:t>
      </w:r>
      <w:r>
        <w:rPr>
          <w:rFonts w:hint="eastAsia" w:hAnsi="宋体"/>
          <w:color w:val="000000"/>
          <w:sz w:val="21"/>
          <w:szCs w:val="21"/>
          <w:lang w:eastAsia="zh-CN"/>
        </w:rPr>
        <w:t>《</w:t>
      </w:r>
      <w:r>
        <w:rPr>
          <w:rFonts w:hint="eastAsia" w:hAnsi="宋体"/>
          <w:color w:val="000000"/>
          <w:sz w:val="21"/>
          <w:szCs w:val="21"/>
        </w:rPr>
        <w:t>药物临床试验质量管理规范</w:t>
      </w:r>
      <w:r>
        <w:rPr>
          <w:rFonts w:hint="eastAsia" w:hAnsi="宋体"/>
          <w:color w:val="000000"/>
          <w:sz w:val="21"/>
          <w:szCs w:val="21"/>
          <w:lang w:eastAsia="zh-CN"/>
        </w:rPr>
        <w:t>》</w:t>
      </w:r>
      <w:r>
        <w:rPr>
          <w:rFonts w:hint="eastAsia" w:hAnsi="宋体"/>
          <w:color w:val="000000"/>
          <w:sz w:val="21"/>
          <w:szCs w:val="21"/>
        </w:rPr>
        <w:t>(2020年)，</w:t>
      </w:r>
      <w:r>
        <w:rPr>
          <w:rFonts w:hint="eastAsia" w:hAnsi="宋体"/>
          <w:color w:val="000000"/>
          <w:sz w:val="21"/>
          <w:szCs w:val="21"/>
          <w:lang w:eastAsia="zh-CN"/>
        </w:rPr>
        <w:t>《医疗器械临床试验质量管理规范》（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2022年</w:t>
      </w:r>
      <w:r>
        <w:rPr>
          <w:rFonts w:hint="eastAsia" w:hAnsi="宋体"/>
          <w:color w:val="000000"/>
          <w:sz w:val="21"/>
          <w:szCs w:val="21"/>
          <w:lang w:eastAsia="zh-CN"/>
        </w:rPr>
        <w:t>），《</w:t>
      </w:r>
      <w:r>
        <w:rPr>
          <w:rFonts w:hint="eastAsia" w:hAnsi="宋体"/>
          <w:color w:val="000000"/>
          <w:sz w:val="21"/>
          <w:szCs w:val="21"/>
        </w:rPr>
        <w:t>药物临床试验伦理审查工作指导原则</w:t>
      </w:r>
      <w:r>
        <w:rPr>
          <w:rFonts w:hint="eastAsia" w:hAnsi="宋体"/>
          <w:color w:val="000000"/>
          <w:sz w:val="21"/>
          <w:szCs w:val="21"/>
          <w:lang w:eastAsia="zh-CN"/>
        </w:rPr>
        <w:t>》</w:t>
      </w:r>
      <w:r>
        <w:rPr>
          <w:rFonts w:hint="eastAsia" w:hAnsi="宋体"/>
          <w:color w:val="000000"/>
          <w:sz w:val="21"/>
          <w:szCs w:val="21"/>
        </w:rPr>
        <w:t>(2010年)，国家卫生和计划生育委员会</w:t>
      </w:r>
      <w:r>
        <w:rPr>
          <w:rFonts w:hint="eastAsia" w:hAnsi="宋体"/>
          <w:color w:val="000000"/>
          <w:sz w:val="21"/>
          <w:szCs w:val="21"/>
          <w:lang w:eastAsia="zh-CN"/>
        </w:rPr>
        <w:t>《</w:t>
      </w:r>
      <w:r>
        <w:rPr>
          <w:rFonts w:hint="eastAsia" w:hAnsi="宋体"/>
          <w:color w:val="000000"/>
          <w:sz w:val="21"/>
          <w:szCs w:val="21"/>
        </w:rPr>
        <w:t>涉及人的生物医学研究伦理审查办法</w:t>
      </w:r>
      <w:r>
        <w:rPr>
          <w:rFonts w:hint="eastAsia" w:hAnsi="宋体"/>
          <w:color w:val="000000"/>
          <w:sz w:val="21"/>
          <w:szCs w:val="21"/>
          <w:lang w:eastAsia="zh-CN"/>
        </w:rPr>
        <w:t>》</w:t>
      </w:r>
      <w:r>
        <w:rPr>
          <w:rFonts w:hint="eastAsia" w:hAnsi="宋体"/>
          <w:color w:val="000000"/>
          <w:sz w:val="21"/>
          <w:szCs w:val="21"/>
        </w:rPr>
        <w:t>(2016年)，下列范围的研究项目应依据本指南提交伦理审查报告：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  •药物临床试验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  •医疗器械临床试验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  •涉及人的生物医学研究项目</w:t>
      </w:r>
    </w:p>
    <w:p>
      <w:pPr>
        <w:spacing w:after="0" w:line="360" w:lineRule="exact"/>
        <w:ind w:firstLine="420" w:firstLineChars="200"/>
        <w:rPr>
          <w:rFonts w:hint="eastAsia"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二、伦理审查申请</w:t>
      </w:r>
      <w:r>
        <w:rPr>
          <w:rFonts w:eastAsia="黑体"/>
          <w:color w:val="000000"/>
          <w:sz w:val="21"/>
          <w:szCs w:val="21"/>
        </w:rPr>
        <w:t>／</w:t>
      </w:r>
      <w:r>
        <w:rPr>
          <w:rFonts w:hint="eastAsia" w:ascii="黑体" w:hAnsi="黑体" w:eastAsia="黑体"/>
          <w:color w:val="000000"/>
          <w:sz w:val="21"/>
          <w:szCs w:val="21"/>
        </w:rPr>
        <w:t>报告的类别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（一）初始审查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初始审查申请：符合上述范围的临床试验项目，应在研究开始前提交伦理审查申请，经批准后方可实施。“初始审查申请”是指首次向伦理委员会提交的审查申请。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（二）跟踪审查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1.修正案审查：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研究过程中若变更主要研究者，对临床研究方案、知情同意书、招募材料等的任何修改，应向伦理委员会提交修正案审查申请，经批准后执行。为避免研究对受试者的即刻危险，研究者可在伦理委员会批准前修改研究方案，事后应将修改研究方案的情况及原因，以“修正案审查申请”的方式及时提交伦理委员会审查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2.年度/定期持续审查：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根据伦理审查批件或意见规定的年度/定期跟踪审查频率，在截止日期前1个月提交研究进展报告；申办者应当向组长单位伦理委员会提交各中心研究进展的汇总报告；当出现任何可能显著影响研究进行或增加受试者危险的情况时，应以“研究进展报告”的方式，及时报伦理委员会审查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3.严重不良事件报告：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严重不良事件是指临床研究过程中发生需住院治疗、延长住院时间、伤残、影响工作能力、危及生命或死亡、导致先天畸形等事件。发生严重不良事件，应在获知24小时内向伦理委员会报告。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4.违背方案审查：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（1）严重违背方案：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研究纳入了不符合纳入标准或符合排除标准的受试者，符合中止试验规定而未让受试者退出研究，给予错误治疗或剂量，给予方案禁止的合并用药等没有遵从方案开展研究的情况；或可能对受试者的权益</w:t>
      </w:r>
      <w:r>
        <w:rPr>
          <w:rFonts w:hint="eastAsia" w:hAnsi="黑体"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健康以及研究的科学性造成显著影响等违背GCP原则的情况。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（2）持续违背方案，或研究者不配合监查稽查，或对违规事件不予以纠正。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凡是发生上述研究者违背GCP原则、没有遵从方案开展研究，可能对受试者的权益，健康以及研究的科学性造成显著影响的情况，应提交违背方案报告。为避免研究对受试者的即刻危险，研究者可在伦理委员会批准前偏离研究方案，事后应以“违背方案报告”的方式，向伦理委员会报告任何偏离已批准方案之处并作解释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5.暂停</w:t>
      </w:r>
      <w:r>
        <w:rPr>
          <w:rFonts w:hint="eastAsia" w:hAnsi="黑体"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终止研究审查：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研究者</w:t>
      </w:r>
      <w:r>
        <w:rPr>
          <w:rFonts w:hint="eastAsia" w:hAnsi="黑体"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申办者暂停或提前终止临床研究，应及时向伦理委员提交暂停/终止研究报告。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6.结题审查：完成临床研究，应及时向伦理委员会提交结题报告。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（三）复审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初始审查和跟踪审查后，按伦理审查意见“必要的修改后同意”，对方案进行修改后，再次送审，经伦理委员会批准后方可实施。</w:t>
      </w:r>
    </w:p>
    <w:p>
      <w:pPr>
        <w:spacing w:after="0" w:line="360" w:lineRule="exact"/>
        <w:ind w:firstLine="420" w:firstLineChars="200"/>
        <w:rPr>
          <w:rFonts w:hint="eastAsia"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三、提交伦理审查的流程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（一）提交送审文件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1.准备送审文件：根据送审文件清单，准备送审文件；方案和知情同意书注明版本号和版本日期。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2.填写申请</w:t>
      </w:r>
      <w:r>
        <w:rPr>
          <w:rFonts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报告的表格：根据伦理审查申请</w:t>
      </w:r>
      <w:r>
        <w:rPr>
          <w:rFonts w:hint="eastAsia" w:hAnsi="黑体"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报告的类别，填写相应的“申请” (初始审查申请，修正案审查申请，复审</w:t>
      </w:r>
      <w:r>
        <w:rPr>
          <w:rFonts w:hint="eastAsia" w:hAnsi="宋体"/>
          <w:color w:val="000000"/>
          <w:sz w:val="21"/>
          <w:szCs w:val="21"/>
          <w:lang w:eastAsia="zh-CN"/>
        </w:rPr>
        <w:t>审查</w:t>
      </w:r>
      <w:r>
        <w:rPr>
          <w:rFonts w:hint="eastAsia" w:hAnsi="宋体"/>
          <w:color w:val="000000"/>
          <w:sz w:val="21"/>
          <w:szCs w:val="21"/>
        </w:rPr>
        <w:t>申请)，或“报告”(</w:t>
      </w:r>
      <w:r>
        <w:rPr>
          <w:rFonts w:hint="eastAsia" w:hAnsi="宋体"/>
          <w:color w:val="000000"/>
          <w:sz w:val="21"/>
          <w:szCs w:val="21"/>
          <w:lang w:eastAsia="zh-CN"/>
        </w:rPr>
        <w:t>研究进展</w:t>
      </w:r>
      <w:r>
        <w:rPr>
          <w:rFonts w:hint="eastAsia" w:hAnsi="宋体"/>
          <w:color w:val="000000"/>
          <w:sz w:val="21"/>
          <w:szCs w:val="21"/>
        </w:rPr>
        <w:t>报告，严重不良事件报告，违背</w:t>
      </w:r>
      <w:r>
        <w:rPr>
          <w:rFonts w:hint="eastAsia" w:hAnsi="宋体"/>
          <w:color w:val="000000"/>
          <w:sz w:val="21"/>
          <w:szCs w:val="21"/>
          <w:lang w:eastAsia="zh-CN"/>
        </w:rPr>
        <w:t>偏离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/</w:t>
      </w:r>
      <w:r>
        <w:rPr>
          <w:rFonts w:hint="eastAsia" w:hAnsi="宋体"/>
          <w:color w:val="000000"/>
          <w:sz w:val="21"/>
          <w:szCs w:val="21"/>
        </w:rPr>
        <w:t>方案报告，暂停</w:t>
      </w:r>
      <w:r>
        <w:rPr>
          <w:rFonts w:hint="eastAsia" w:hAnsi="黑体"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终止研究报告，结题报告)。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3.提交：首先提交1套送审文件，通过形式审查后，准备书面送审材料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16</w:t>
      </w:r>
      <w:r>
        <w:rPr>
          <w:rFonts w:hint="eastAsia" w:hAnsi="宋体"/>
          <w:color w:val="000000"/>
          <w:sz w:val="21"/>
          <w:szCs w:val="21"/>
        </w:rPr>
        <w:t>份，以及方案</w:t>
      </w:r>
      <w:r>
        <w:rPr>
          <w:rFonts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知情同意书临床试验材料等电子文件（PDF格式），送至伦理委员会办公室；首次提交伦理审查申请的研究者，还需提交资质证明文件复印件，GCP培训证书复印件。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4.受理通知：送审文件的完整性和要素通过形式审查，办公室秘书发送研究受理通知，并提前7天告知预定审查日期。 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（二）领取通知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补充</w:t>
      </w:r>
      <w:r>
        <w:rPr>
          <w:rFonts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修改送审材料通知：伦理委员会办公室受理后，如果认为送审文件不完整，文件要素有缺陷，发送补充</w:t>
      </w:r>
      <w:r>
        <w:rPr>
          <w:rFonts w:eastAsia="黑体"/>
          <w:color w:val="000000"/>
          <w:sz w:val="21"/>
          <w:szCs w:val="21"/>
        </w:rPr>
        <w:t>／</w:t>
      </w:r>
      <w:r>
        <w:rPr>
          <w:rFonts w:hint="eastAsia" w:hAnsi="宋体"/>
          <w:color w:val="000000"/>
          <w:sz w:val="21"/>
          <w:szCs w:val="21"/>
        </w:rPr>
        <w:t>修改送审材料通知，告知缺项文件、缺陷管理进行对比研究的要素，以及最近审查会议前的送审截止日期。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（三）接受审查的准备                                                                         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1.会议时间，地点：办公室秘书电话通知</w:t>
      </w:r>
      <w:r>
        <w:rPr>
          <w:rFonts w:hint="eastAsia" w:hAnsi="宋体"/>
          <w:color w:val="000000"/>
          <w:sz w:val="21"/>
          <w:szCs w:val="21"/>
          <w:lang w:eastAsia="zh-CN"/>
        </w:rPr>
        <w:t>，同时会在医院伦理网站提前公布</w:t>
      </w:r>
      <w:r>
        <w:rPr>
          <w:rFonts w:hint="eastAsia" w:hAnsi="宋体"/>
          <w:color w:val="000000"/>
          <w:sz w:val="21"/>
          <w:szCs w:val="21"/>
        </w:rPr>
        <w:t xml:space="preserve">。            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 xml:space="preserve">2.准备会议报告：按照通知，需要到会报告者，准备报告内容，提前15分钟到达会场。 </w:t>
      </w:r>
    </w:p>
    <w:p>
      <w:pPr>
        <w:spacing w:after="0" w:line="360" w:lineRule="exact"/>
        <w:ind w:firstLine="420" w:firstLineChars="200"/>
        <w:rPr>
          <w:rFonts w:hint="eastAsia"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四、伦理审查的时间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伦理委员会每月</w:t>
      </w:r>
      <w:r>
        <w:rPr>
          <w:rFonts w:hint="eastAsia" w:hAnsi="宋体"/>
          <w:color w:val="000000"/>
          <w:sz w:val="21"/>
          <w:szCs w:val="21"/>
          <w:lang w:eastAsia="zh-CN"/>
        </w:rPr>
        <w:t>最后一周周三下午</w:t>
      </w:r>
      <w:r>
        <w:rPr>
          <w:rFonts w:hint="eastAsia" w:hAnsi="宋体"/>
          <w:color w:val="000000"/>
          <w:sz w:val="21"/>
          <w:szCs w:val="21"/>
        </w:rPr>
        <w:t>例行召开审查会议，</w:t>
      </w:r>
      <w:r>
        <w:rPr>
          <w:rFonts w:hint="eastAsia" w:hAnsi="宋体"/>
          <w:color w:val="000000"/>
          <w:sz w:val="21"/>
          <w:szCs w:val="21"/>
          <w:lang w:eastAsia="zh-CN"/>
        </w:rPr>
        <w:t>必要时</w:t>
      </w:r>
      <w:r>
        <w:rPr>
          <w:rFonts w:hint="eastAsia" w:hAnsi="宋体"/>
          <w:color w:val="000000"/>
          <w:sz w:val="21"/>
          <w:szCs w:val="21"/>
        </w:rPr>
        <w:t>可以增加审查会议次数。伦理委员会办公室受理送审文件后，一般需要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hAnsi="宋体"/>
          <w:color w:val="000000"/>
          <w:sz w:val="21"/>
          <w:szCs w:val="21"/>
        </w:rPr>
        <w:t>周的时间进行处理，请在会议审查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hAnsi="宋体"/>
          <w:color w:val="000000"/>
          <w:sz w:val="21"/>
          <w:szCs w:val="21"/>
        </w:rPr>
        <w:t>周前提交送审文件。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研究过程中出现重大或严重问题，危及受试者安全时，或发生其他需要伦理委员会召开会议进行紧急审查和决定的情况，伦理委员会将召开紧急会议进行审查。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 xml:space="preserve">五、审查决定的传达  </w:t>
      </w:r>
      <w:r>
        <w:rPr>
          <w:rFonts w:hint="eastAsia" w:hAnsi="宋体"/>
          <w:color w:val="000000"/>
          <w:sz w:val="21"/>
          <w:szCs w:val="21"/>
        </w:rPr>
        <w:t xml:space="preserve">                                                                 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伦理委员会办公室在做出伦理审查决定后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hAnsi="宋体"/>
          <w:color w:val="000000"/>
          <w:sz w:val="21"/>
          <w:szCs w:val="21"/>
        </w:rPr>
        <w:t>个工作日内，以“伦理审查批准件”或“伦理审查意见”的书面方式传达审查决定。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六、伦理审查的费用</w:t>
      </w:r>
      <w:r>
        <w:rPr>
          <w:rFonts w:hint="eastAsia" w:hAnsi="宋体"/>
          <w:color w:val="000000"/>
          <w:sz w:val="21"/>
          <w:szCs w:val="21"/>
        </w:rPr>
        <w:t xml:space="preserve">       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伦理委员会初始会议审查费用： 4000.00  元</w:t>
      </w:r>
      <w:r>
        <w:rPr>
          <w:rFonts w:hint="eastAsia" w:hAnsi="宋体"/>
          <w:color w:val="000000"/>
          <w:sz w:val="21"/>
          <w:szCs w:val="21"/>
          <w:lang w:eastAsia="zh-CN"/>
        </w:rPr>
        <w:t>（不含税）</w:t>
      </w:r>
      <w:r>
        <w:rPr>
          <w:rFonts w:hint="eastAsia" w:hAnsi="宋体"/>
          <w:color w:val="000000"/>
          <w:sz w:val="21"/>
          <w:szCs w:val="21"/>
        </w:rPr>
        <w:t>。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持续/跟踪审查费用：1500.00元</w:t>
      </w:r>
      <w:r>
        <w:rPr>
          <w:rFonts w:hint="eastAsia" w:hAnsi="宋体"/>
          <w:color w:val="000000"/>
          <w:sz w:val="21"/>
          <w:szCs w:val="21"/>
          <w:lang w:eastAsia="zh-CN"/>
        </w:rPr>
        <w:t>（不含税）</w:t>
      </w:r>
      <w:r>
        <w:rPr>
          <w:rFonts w:hint="eastAsia" w:hAnsi="宋体"/>
          <w:color w:val="000000"/>
          <w:sz w:val="21"/>
          <w:szCs w:val="21"/>
        </w:rPr>
        <w:t xml:space="preserve">。                                                                                           </w:t>
      </w:r>
    </w:p>
    <w:p>
      <w:pPr>
        <w:spacing w:after="0" w:line="360" w:lineRule="exact"/>
        <w:ind w:firstLine="420" w:firstLineChars="200"/>
        <w:rPr>
          <w:rFonts w:hint="eastAsia"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七、联系方式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伦理委员会办公室电话： 0571-56006035</w:t>
      </w:r>
    </w:p>
    <w:p>
      <w:pPr>
        <w:spacing w:after="0" w:line="360" w:lineRule="exact"/>
        <w:ind w:firstLine="420" w:firstLineChars="200"/>
        <w:rPr>
          <w:rFonts w:hint="eastAsia" w:hAnsi="宋体" w:eastAsia="宋体"/>
          <w:color w:val="000000"/>
          <w:sz w:val="21"/>
          <w:szCs w:val="21"/>
          <w:lang w:eastAsia="zh-CN"/>
        </w:rPr>
      </w:pPr>
      <w:r>
        <w:rPr>
          <w:rFonts w:hint="eastAsia" w:hAnsi="宋体"/>
          <w:color w:val="000000"/>
          <w:sz w:val="21"/>
          <w:szCs w:val="21"/>
        </w:rPr>
        <w:t xml:space="preserve">联系人： </w:t>
      </w:r>
      <w:r>
        <w:rPr>
          <w:rFonts w:hint="eastAsia" w:hAnsi="宋体"/>
          <w:color w:val="000000"/>
          <w:sz w:val="21"/>
          <w:szCs w:val="21"/>
          <w:lang w:eastAsia="zh-CN"/>
        </w:rPr>
        <w:t>周利三</w:t>
      </w:r>
    </w:p>
    <w:p>
      <w:pPr>
        <w:spacing w:after="0" w:line="36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Email：hzchiec2020@163.com</w:t>
      </w:r>
    </w:p>
    <w:p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797" w:bottom="1440" w:left="1797" w:header="1474" w:footer="964" w:gutter="0"/>
      <w:pgNumType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eastAsia="微软雅黑"/>
        <w:b/>
        <w:sz w:val="28"/>
        <w:szCs w:val="28"/>
      </w:rPr>
      <w:drawing>
        <wp:inline distT="0" distB="0" distL="114300" distR="114300">
          <wp:extent cx="1365885" cy="372745"/>
          <wp:effectExtent l="0" t="0" r="5715" b="8255"/>
          <wp:docPr id="2" name="图片 2" descr="医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88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微软雅黑"/>
        <w:b/>
        <w:sz w:val="28"/>
        <w:szCs w:val="28"/>
        <w:lang w:eastAsia="zh-CN"/>
      </w:rPr>
      <w:t xml:space="preserve">                         </w:t>
    </w:r>
    <w:r>
      <w:rPr>
        <w:rFonts w:hint="eastAsia" w:ascii="宋体" w:hAnsi="宋体" w:cs="黑体"/>
      </w:rPr>
      <w:t>文件编号：</w:t>
    </w:r>
    <w:r>
      <w:rPr>
        <w:rFonts w:hint="eastAsia"/>
      </w:rPr>
      <w:t xml:space="preserve">HCH/IEC </w:t>
    </w:r>
    <w:r>
      <w:rPr>
        <w:rFonts w:hint="eastAsia"/>
        <w:lang w:eastAsia="zh-CN"/>
      </w:rPr>
      <w:t>AF</w:t>
    </w:r>
    <w:r>
      <w:t>/</w:t>
    </w:r>
    <w:r>
      <w:rPr>
        <w:rFonts w:hint="eastAsia"/>
        <w:lang w:eastAsia="zh-CN"/>
      </w:rPr>
      <w:t>28</w:t>
    </w:r>
    <w:r>
      <w:t>/0</w:t>
    </w:r>
    <w:r>
      <w:rPr>
        <w:rFonts w:hint="eastAsia"/>
        <w:lang w:eastAsia="zh-CN"/>
      </w:rPr>
      <w:t>2.0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lang w:val="en-US" w:eastAsia="zh-CN"/>
      </w:rPr>
    </w:pPr>
    <w:r>
      <w:rPr>
        <w:rFonts w:hint="eastAsia" w:eastAsia="微软雅黑"/>
        <w:b/>
        <w:sz w:val="28"/>
        <w:szCs w:val="28"/>
      </w:rPr>
      <w:drawing>
        <wp:inline distT="0" distB="0" distL="114300" distR="114300">
          <wp:extent cx="1365885" cy="372745"/>
          <wp:effectExtent l="0" t="0" r="5715" b="8255"/>
          <wp:docPr id="4" name="图片 1" descr="医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医院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88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微软雅黑"/>
        <w:b/>
        <w:sz w:val="28"/>
        <w:szCs w:val="28"/>
        <w:lang w:eastAsia="zh-CN"/>
      </w:rPr>
      <w:t xml:space="preserve">                         </w:t>
    </w:r>
    <w:r>
      <w:rPr>
        <w:rFonts w:hint="eastAsia" w:ascii="宋体" w:hAnsi="宋体" w:cs="黑体"/>
      </w:rPr>
      <w:t>文件编号：</w:t>
    </w:r>
    <w:r>
      <w:rPr>
        <w:rFonts w:hint="eastAsia"/>
      </w:rPr>
      <w:t xml:space="preserve">HCH/IEC </w:t>
    </w:r>
    <w:r>
      <w:rPr>
        <w:rFonts w:hint="eastAsia"/>
        <w:lang w:eastAsia="zh-CN"/>
      </w:rPr>
      <w:t>AF</w:t>
    </w:r>
    <w:r>
      <w:t>/</w:t>
    </w:r>
    <w:r>
      <w:rPr>
        <w:rFonts w:hint="eastAsia"/>
        <w:lang w:eastAsia="zh-CN"/>
      </w:rPr>
      <w:t>28</w:t>
    </w:r>
    <w:r>
      <w:t>/0</w:t>
    </w:r>
    <w:r>
      <w:rPr>
        <w:rFonts w:hint="eastAsia"/>
        <w:lang w:eastAsia="zh-CN"/>
      </w:rPr>
      <w:t>2.</w:t>
    </w:r>
    <w:r>
      <w:rPr>
        <w:rFonts w:hint="eastAsia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TA5NGI4NTI4YmRkOGFjMmFjNDliYjI5NDRkY2MifQ=="/>
  </w:docVars>
  <w:rsids>
    <w:rsidRoot w:val="00000000"/>
    <w:rsid w:val="1B6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2022-11-18T01:24:58Z</dcterms:created>
  <dc:creator>Administrator</dc:creator>
  <cp:lastModifiedBy>昕昕雨</cp:lastModifiedBy>
  <dcterms:modified xsi:type="dcterms:W3CDTF">2022-11-18T01:25:27Z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44DBC175BA2144F5A8015E3A6776FA0C</vt:lpwstr>
  </property>
</Properties>
</file>